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JEFF MARWIL</w:t>
      </w:r>
    </w:p>
    <w:p>
      <w:pPr>
        <w:pStyle w:val="Body"/>
        <w:bidi w:val="0"/>
      </w:pPr>
    </w:p>
    <w:p>
      <w:pPr>
        <w:pStyle w:val="Body"/>
        <w:bidi w:val="0"/>
      </w:pPr>
      <w:r>
        <w:rPr>
          <w:rtl w:val="0"/>
          <w:lang w:val="en-US"/>
        </w:rPr>
        <w:t>Independent Director, Strategic Advisor &amp; Fiduciary</w:t>
      </w:r>
    </w:p>
    <w:p>
      <w:pPr>
        <w:pStyle w:val="Body"/>
        <w:bidi w:val="0"/>
      </w:pPr>
      <w:r>
        <w:rPr>
          <w:rtl w:val="0"/>
          <w:lang w:val="fr-FR"/>
        </w:rPr>
        <w:t>Ocean Boulevard Strategic Advisors</w:t>
      </w:r>
    </w:p>
    <w:p>
      <w:pPr>
        <w:pStyle w:val="Body"/>
        <w:bidi w:val="0"/>
      </w:pPr>
      <w:r>
        <w:rPr>
          <w:rtl w:val="0"/>
        </w:rPr>
        <w:t xml:space="preserve">Email: </w:t>
      </w:r>
      <w:r>
        <w:rPr>
          <w:rtl w:val="0"/>
          <w:lang w:val="en-US"/>
        </w:rPr>
        <w:t>Jmarwil@oceanbsa.com</w:t>
      </w:r>
      <w:r>
        <w:rPr>
          <w:rtl w:val="0"/>
        </w:rPr>
        <w:t xml:space="preserve"> | Phone: 312-543-2303 | Website: www.oceanbsa.com</w:t>
      </w:r>
    </w:p>
    <w:p>
      <w:pPr>
        <w:pStyle w:val="Body"/>
        <w:bidi w:val="0"/>
      </w:pPr>
    </w:p>
    <w:p>
      <w:pPr>
        <w:pStyle w:val="Body"/>
        <w:bidi w:val="0"/>
      </w:pPr>
    </w:p>
    <w:p>
      <w:pPr>
        <w:pStyle w:val="Body"/>
        <w:bidi w:val="0"/>
      </w:pPr>
    </w:p>
    <w:p>
      <w:pPr>
        <w:pStyle w:val="Body"/>
        <w:bidi w:val="0"/>
      </w:pPr>
      <w:r>
        <w:rPr>
          <w:rtl w:val="0"/>
          <w:lang w:val="de-DE"/>
        </w:rPr>
        <w:t>PROFESSIONAL SUMMARY</w:t>
      </w:r>
    </w:p>
    <w:p>
      <w:pPr>
        <w:pStyle w:val="Body"/>
        <w:bidi w:val="0"/>
      </w:pPr>
      <w:r>
        <w:rPr>
          <w:rtl w:val="0"/>
          <w:lang w:val="en-US"/>
        </w:rPr>
        <w:t>A highly distinguished corporate operator, independent fiduciary, and former AmLaw 50 practice leader offering 40 years of combined elite experience at the absolute vanguard of private credit allocation, complex corporate governance, and downside asset protection.</w:t>
      </w:r>
    </w:p>
    <w:p>
      <w:pPr>
        <w:pStyle w:val="Body"/>
        <w:bidi w:val="0"/>
      </w:pPr>
      <w:r>
        <w:rPr>
          <w:rtl w:val="0"/>
          <w:lang w:val="en-US"/>
        </w:rPr>
        <w:t>Following a notable 3</w:t>
      </w:r>
      <w:r>
        <w:rPr>
          <w:rtl w:val="0"/>
          <w:lang w:val="en-US"/>
        </w:rPr>
        <w:t>7</w:t>
      </w:r>
      <w:r>
        <w:rPr>
          <w:rtl w:val="0"/>
          <w:lang w:val="en-US"/>
        </w:rPr>
        <w:t>-year career culminating as the Co-Chair of Proskauer</w:t>
      </w:r>
      <w:r>
        <w:rPr>
          <w:rtl w:val="1"/>
        </w:rPr>
        <w:t>’</w:t>
      </w:r>
      <w:r>
        <w:rPr>
          <w:rtl w:val="0"/>
          <w:lang w:val="en-US"/>
        </w:rPr>
        <w:t>s Corporate Restructuring, Business Solutions, and Bankruptcy practice group (retiring in 2023), Mr. Marwil has spent the last three years deeply embedded on the buy-side of the private markets. Serving concurrently as an active independent fiduciary for high-stakes distressed businesses and an operating partner for a prominent private capital lending fund, his current advisory mandate specializes in providing downside capital protection, navigating complex multi-party capital structures, and evaluating the tech-commercial vulnerabilities and competitive moats posed to businesses by the rise of AI and autonomous AI agents.</w:t>
      </w:r>
    </w:p>
    <w:p>
      <w:pPr>
        <w:pStyle w:val="Body"/>
        <w:bidi w:val="0"/>
      </w:pPr>
      <w:r>
        <w:rPr>
          <w:rtl w:val="0"/>
          <w:lang w:val="en-US"/>
        </w:rPr>
        <w:t>Uniquely positioned to provide sophisticated fiduciary architecture and transaction defense for scaled public-private capital deployments (such as the Department of Defense</w:t>
      </w:r>
      <w:r>
        <w:rPr>
          <w:rtl w:val="1"/>
        </w:rPr>
        <w:t>’</w:t>
      </w:r>
      <w:r>
        <w:rPr>
          <w:rtl w:val="0"/>
          <w:lang w:val="en-US"/>
        </w:rPr>
        <w:t xml:space="preserve">s Office of Strategic Capital initiative), ensuring massive funding streams are structurally insulated, legally resilient against </w:t>
      </w:r>
      <w:r>
        <w:rPr>
          <w:rtl w:val="0"/>
          <w:lang w:val="en-US"/>
        </w:rPr>
        <w:t xml:space="preserve">insolvency and </w:t>
      </w:r>
      <w:r>
        <w:rPr>
          <w:rtl w:val="0"/>
          <w:lang w:val="en-US"/>
        </w:rPr>
        <w:t>bankruptcy risks, and strategically defended against rapid technological obsolescence.</w:t>
      </w:r>
    </w:p>
    <w:p>
      <w:pPr>
        <w:pStyle w:val="Body"/>
        <w:bidi w:val="0"/>
      </w:pPr>
    </w:p>
    <w:p>
      <w:pPr>
        <w:pStyle w:val="Body"/>
        <w:bidi w:val="0"/>
      </w:pPr>
    </w:p>
    <w:p>
      <w:pPr>
        <w:pStyle w:val="Body"/>
        <w:bidi w:val="0"/>
      </w:pPr>
    </w:p>
    <w:p>
      <w:pPr>
        <w:pStyle w:val="Body"/>
        <w:bidi w:val="0"/>
      </w:pPr>
      <w:r>
        <w:rPr>
          <w:rtl w:val="0"/>
          <w:lang w:val="en-US"/>
        </w:rPr>
        <w:t>CORE COMPETENCIES &amp; SOVEREIGN APPLICATION</w:t>
      </w:r>
    </w:p>
    <w:p>
      <w:pPr>
        <w:pStyle w:val="Body"/>
        <w:bidi w:val="0"/>
      </w:pPr>
    </w:p>
    <w:p>
      <w:pPr>
        <w:pStyle w:val="Body"/>
        <w:bidi w:val="0"/>
      </w:pPr>
      <w:r>
        <w:rPr>
          <w:rtl w:val="0"/>
          <w:lang w:val="en-US"/>
        </w:rPr>
        <w:t xml:space="preserve">Industrial Base Stabilization &amp; Downside Protection: Unrivaled history identifying financial stress within vital industrial, logistics, and manufacturing sub-tiers. Expertise covers designing proactive, out-of-court </w:t>
      </w:r>
      <w:r>
        <w:rPr>
          <w:rtl w:val="0"/>
          <w:lang w:val="en-US"/>
        </w:rPr>
        <w:t xml:space="preserve">workout and </w:t>
      </w:r>
      <w:r>
        <w:rPr>
          <w:rtl w:val="0"/>
          <w:lang w:val="en-US"/>
        </w:rPr>
        <w:t xml:space="preserve">restructuring strategies </w:t>
      </w:r>
      <w:r>
        <w:rPr>
          <w:rtl w:val="0"/>
          <w:lang w:val="en-US"/>
        </w:rPr>
        <w:t xml:space="preserve">as well as </w:t>
      </w:r>
      <w:r>
        <w:rPr>
          <w:rtl w:val="0"/>
          <w:lang w:val="en-US"/>
        </w:rPr>
        <w:t xml:space="preserve">Chapter 11 </w:t>
      </w:r>
      <w:r>
        <w:rPr>
          <w:rtl w:val="0"/>
          <w:lang w:val="en-US"/>
        </w:rPr>
        <w:t>reorganizations and/or asset sales to</w:t>
      </w:r>
      <w:r>
        <w:rPr>
          <w:rtl w:val="0"/>
          <w:lang w:val="en-US"/>
        </w:rPr>
        <w:t xml:space="preserve"> insulate essential domestic intellectual property and infrastructure from predatory foreign capital or liquidation.</w:t>
      </w:r>
    </w:p>
    <w:p>
      <w:pPr>
        <w:pStyle w:val="Body"/>
        <w:bidi w:val="0"/>
      </w:pPr>
    </w:p>
    <w:p>
      <w:pPr>
        <w:pStyle w:val="Body"/>
        <w:bidi w:val="0"/>
      </w:pPr>
      <w:r>
        <w:rPr>
          <w:rtl w:val="0"/>
          <w:lang w:val="en-US"/>
        </w:rPr>
        <w:t>Private Credit &amp; Covenant Architecture: Decades spent navigating the intricate legal and financial frameworks of global lenders and private equity sponsors. Highly proficient in crafting sophisticated intercreditor agreements, debt-priming mechanisms, and specialized governance covenants that force private capital structures to align</w:t>
      </w:r>
      <w:r>
        <w:rPr>
          <w:rtl w:val="0"/>
          <w:lang w:val="en-US"/>
        </w:rPr>
        <w:t xml:space="preserve"> </w:t>
      </w:r>
      <w:r>
        <w:rPr>
          <w:rtl w:val="0"/>
          <w:lang w:val="en-US"/>
        </w:rPr>
        <w:t>with long-term sovereign mandates or strategic investment goals.</w:t>
      </w:r>
    </w:p>
    <w:p>
      <w:pPr>
        <w:pStyle w:val="Body"/>
        <w:bidi w:val="0"/>
      </w:pPr>
    </w:p>
    <w:p>
      <w:pPr>
        <w:pStyle w:val="Body"/>
        <w:bidi w:val="0"/>
      </w:pPr>
      <w:r>
        <w:rPr>
          <w:rtl w:val="0"/>
          <w:lang w:val="en-US"/>
        </w:rPr>
        <w:t>Tech-Commercial &amp; AI Moat Evaluation: Expert-level commercial understanding of how next-generation technologies alter business models. Possesses deep capabilities to vet tech-heavy portfolios and assess whether a target company has an enduring, data-exclusive competitive moat or faces imminent commoditization from rapid conceptual advancements in AI and autonomous agents.</w:t>
      </w:r>
    </w:p>
    <w:p>
      <w:pPr>
        <w:pStyle w:val="Body"/>
        <w:bidi w:val="0"/>
      </w:pPr>
    </w:p>
    <w:p>
      <w:pPr>
        <w:pStyle w:val="Body"/>
        <w:bidi w:val="0"/>
      </w:pPr>
      <w:r>
        <w:rPr>
          <w:rtl w:val="0"/>
          <w:lang w:val="en-US"/>
        </w:rPr>
        <w:t>Fiduciary &amp; Board Governance Oversight: Extensive track record serving as an independent director and sole fiduciary in high-profile, highly litigious, or fraudulent corporate failures. Delivers immediate board-level credibility, structural compliance, and rigorous fiduciary oversight designed to survive intense political, regulatory, and judicial scrutiny.</w:t>
      </w:r>
    </w:p>
    <w:p>
      <w:pPr>
        <w:pStyle w:val="Body"/>
        <w:bidi w:val="0"/>
      </w:pPr>
    </w:p>
    <w:p>
      <w:pPr>
        <w:pStyle w:val="Body"/>
        <w:bidi w:val="0"/>
      </w:pPr>
    </w:p>
    <w:p>
      <w:pPr>
        <w:pStyle w:val="Body"/>
        <w:bidi w:val="0"/>
      </w:pPr>
    </w:p>
    <w:p>
      <w:pPr>
        <w:pStyle w:val="Body"/>
        <w:bidi w:val="0"/>
      </w:pPr>
      <w:r>
        <w:rPr>
          <w:rtl w:val="0"/>
          <w:lang w:val="en-US"/>
        </w:rPr>
        <w:t xml:space="preserve">RECENT EXECUTIVE &amp; BUY-SIDE LEADERSHIP (2023 </w:t>
      </w:r>
      <w:r>
        <w:rPr>
          <w:rtl w:val="0"/>
        </w:rPr>
        <w:t xml:space="preserve">– </w:t>
      </w:r>
      <w:r>
        <w:rPr>
          <w:rtl w:val="0"/>
          <w:lang w:val="de-DE"/>
        </w:rPr>
        <w:t>PRESENT)</w:t>
      </w:r>
    </w:p>
    <w:p>
      <w:pPr>
        <w:pStyle w:val="Body"/>
        <w:bidi w:val="0"/>
      </w:pPr>
    </w:p>
    <w:p>
      <w:pPr>
        <w:pStyle w:val="Body"/>
        <w:bidi w:val="0"/>
      </w:pPr>
      <w:r>
        <w:rPr>
          <w:rtl w:val="0"/>
        </w:rPr>
        <w:t xml:space="preserve">Ocean Boulevard Strategic Advisors (OBSA) | 2023 </w:t>
      </w:r>
      <w:r>
        <w:rPr>
          <w:rtl w:val="0"/>
        </w:rPr>
        <w:t xml:space="preserve">– </w:t>
      </w:r>
      <w:r>
        <w:rPr>
          <w:rtl w:val="0"/>
          <w:lang w:val="it-IT"/>
        </w:rPr>
        <w:t>Present</w:t>
      </w:r>
    </w:p>
    <w:p>
      <w:pPr>
        <w:pStyle w:val="Body"/>
        <w:bidi w:val="0"/>
      </w:pPr>
    </w:p>
    <w:p>
      <w:pPr>
        <w:pStyle w:val="Body"/>
        <w:bidi w:val="0"/>
      </w:pPr>
      <w:r>
        <w:rPr>
          <w:rtl w:val="0"/>
          <w:lang w:val="en-US"/>
        </w:rPr>
        <w:t>Strategic Financial Advisory, Fiduciary Services &amp; Private Credit Guidanc</w:t>
      </w:r>
      <w:r>
        <w:rPr>
          <w:rtl w:val="0"/>
          <w:lang w:val="en-US"/>
        </w:rPr>
        <w:t>e</w:t>
      </w:r>
    </w:p>
    <w:p>
      <w:pPr>
        <w:pStyle w:val="Body"/>
        <w:bidi w:val="0"/>
      </w:pPr>
    </w:p>
    <w:p>
      <w:pPr>
        <w:pStyle w:val="Body"/>
        <w:bidi w:val="0"/>
      </w:pPr>
      <w:r>
        <w:rPr>
          <w:rtl w:val="0"/>
          <w:lang w:val="en-US"/>
        </w:rPr>
        <w:t>Private Credit Portfolio Advisory: Advising Private Credit Lenders (PCLs) on managing heavily stressed, industry-concentrated portfolios to engineer value-maximizing workouts outside of standard liquidation parameters.</w:t>
      </w:r>
    </w:p>
    <w:p>
      <w:pPr>
        <w:pStyle w:val="Body"/>
        <w:bidi w:val="0"/>
      </w:pPr>
    </w:p>
    <w:p>
      <w:pPr>
        <w:pStyle w:val="Body"/>
        <w:bidi w:val="0"/>
      </w:pPr>
      <w:r>
        <w:rPr>
          <w:rtl w:val="0"/>
          <w:lang w:val="en-US"/>
        </w:rPr>
        <w:t>Independent Board Representation: Entering volatile, distressed corporate environments as an independent director or special committee leader to secure operational consensus, protect core assets, and execute complex structural transactions.</w:t>
      </w:r>
    </w:p>
    <w:p>
      <w:pPr>
        <w:pStyle w:val="Body"/>
        <w:bidi w:val="0"/>
      </w:pPr>
    </w:p>
    <w:p>
      <w:pPr>
        <w:pStyle w:val="Body"/>
        <w:bidi w:val="0"/>
      </w:pPr>
      <w:r>
        <w:rPr>
          <w:rtl w:val="0"/>
          <w:lang w:val="en-US"/>
        </w:rPr>
        <w:t xml:space="preserve">AI Commercial Moat Analysis: </w:t>
      </w:r>
      <w:r>
        <w:rPr>
          <w:rtl w:val="0"/>
          <w:lang w:val="en-US"/>
        </w:rPr>
        <w:t xml:space="preserve">Auditing </w:t>
      </w:r>
      <w:r>
        <w:rPr>
          <w:rtl w:val="0"/>
          <w:lang w:val="en-US"/>
        </w:rPr>
        <w:t>commercial business models to separate superficial technology marketing from genuine, structurally protected intellectual property, focusing intensely on how AI application and autonomous agent software disrupt or protect portfolio valuations.</w:t>
      </w:r>
    </w:p>
    <w:p>
      <w:pPr>
        <w:pStyle w:val="Body"/>
        <w:bidi w:val="0"/>
      </w:pPr>
    </w:p>
    <w:p>
      <w:pPr>
        <w:pStyle w:val="Body"/>
        <w:bidi w:val="0"/>
      </w:pPr>
      <w:r>
        <w:rPr>
          <w:rtl w:val="0"/>
          <w:lang w:val="en-US"/>
        </w:rPr>
        <w:t xml:space="preserve">Private Capital Lending Fund </w:t>
      </w:r>
    </w:p>
    <w:p>
      <w:pPr>
        <w:pStyle w:val="Body"/>
        <w:bidi w:val="0"/>
      </w:pPr>
      <w:r>
        <w:rPr>
          <w:rtl w:val="0"/>
          <w:lang w:val="en-US"/>
        </w:rPr>
        <w:t>Operating Partner</w:t>
      </w:r>
    </w:p>
    <w:p>
      <w:pPr>
        <w:pStyle w:val="Body"/>
        <w:bidi w:val="0"/>
      </w:pPr>
      <w:r>
        <w:rPr>
          <w:rtl w:val="0"/>
          <w:lang w:val="en-US"/>
        </w:rPr>
        <w:t>Deployed directly into mid-market corporate portfolios to handle operational distress, restructure debt parameters under modern high-interest-rate environments, and align sponsor incentives with capital-preservation goals.</w:t>
      </w:r>
    </w:p>
    <w:p>
      <w:pPr>
        <w:pStyle w:val="Body"/>
        <w:bidi w:val="0"/>
      </w:pPr>
    </w:p>
    <w:p>
      <w:pPr>
        <w:pStyle w:val="Body"/>
        <w:bidi w:val="0"/>
      </w:pPr>
    </w:p>
    <w:p>
      <w:pPr>
        <w:pStyle w:val="Body"/>
        <w:bidi w:val="0"/>
      </w:pPr>
    </w:p>
    <w:p>
      <w:pPr>
        <w:pStyle w:val="Body"/>
        <w:bidi w:val="0"/>
      </w:pPr>
      <w:r>
        <w:rPr>
          <w:rtl w:val="0"/>
          <w:lang w:val="de-DE"/>
        </w:rPr>
        <w:t>REPRESENTATIVE CLIENT INITIATIVES &amp; TRANSACTIONAL EXPERIENCE</w:t>
      </w:r>
    </w:p>
    <w:p>
      <w:pPr>
        <w:pStyle w:val="Body"/>
        <w:bidi w:val="0"/>
      </w:pPr>
      <w:r>
        <w:rPr>
          <w:rtl w:val="0"/>
          <w:lang w:val="en-US"/>
        </w:rPr>
        <w:t>The following historical engagements highlight a masterful capacity to handle multi-billion-dollar complexity, tech-commercial scaling, and critical infrastructure defense:</w:t>
      </w:r>
    </w:p>
    <w:p>
      <w:pPr>
        <w:pStyle w:val="Body"/>
        <w:bidi w:val="0"/>
      </w:pPr>
    </w:p>
    <w:p>
      <w:pPr>
        <w:pStyle w:val="Body"/>
        <w:bidi w:val="0"/>
      </w:pPr>
      <w:r>
        <w:rPr>
          <w:rtl w:val="0"/>
          <w:lang w:val="en-US"/>
        </w:rPr>
        <w:t>Encyclopedia Britannica, Inc. | Tech-Commercial Optimization &amp; AI Strategy</w:t>
      </w:r>
    </w:p>
    <w:p>
      <w:pPr>
        <w:pStyle w:val="Body"/>
        <w:bidi w:val="0"/>
      </w:pPr>
      <w:r>
        <w:rPr>
          <w:rtl w:val="0"/>
          <w:lang w:val="pt-PT"/>
        </w:rPr>
        <w:t>Role: Executive Director</w:t>
      </w:r>
    </w:p>
    <w:p>
      <w:pPr>
        <w:pStyle w:val="Body"/>
        <w:bidi w:val="0"/>
      </w:pPr>
      <w:r>
        <w:rPr>
          <w:rtl w:val="0"/>
          <w:lang w:val="en-US"/>
        </w:rPr>
        <w:t>Execution: Partnered directly with the executive leadership of the Consumer (Merriam-Webster) and Institutional (EdTech) divisions to scale ARR, EBITDA, and free cash flow. Spearheaded the strategic architecture allowing Britannica</w:t>
      </w:r>
      <w:r>
        <w:rPr>
          <w:rtl w:val="0"/>
          <w:lang w:val="en-US"/>
        </w:rPr>
        <w:t>’</w:t>
      </w:r>
      <w:r>
        <w:rPr>
          <w:rtl w:val="0"/>
          <w:lang w:val="en-US"/>
        </w:rPr>
        <w:t xml:space="preserve">s EdTech division </w:t>
      </w:r>
      <w:r>
        <w:rPr>
          <w:rtl w:val="0"/>
        </w:rPr>
        <w:t xml:space="preserve">to </w:t>
      </w:r>
      <w:r>
        <w:rPr>
          <w:rtl w:val="0"/>
          <w:lang w:val="en-US"/>
        </w:rPr>
        <w:t xml:space="preserve">optimize use of </w:t>
      </w:r>
      <w:r>
        <w:rPr>
          <w:rtl w:val="0"/>
          <w:lang w:val="en-US"/>
        </w:rPr>
        <w:t xml:space="preserve">its repository of more than 130,000 curated, human-verified articles by embedding autonomous AI agents within its diverse educational </w:t>
      </w:r>
      <w:r>
        <w:rPr>
          <w:rtl w:val="0"/>
          <w:lang w:val="en-US"/>
        </w:rPr>
        <w:t>(</w:t>
      </w:r>
      <w:r>
        <w:rPr>
          <w:rtl w:val="0"/>
          <w:lang w:val="en-US"/>
        </w:rPr>
        <w:t>and consumer digital</w:t>
      </w:r>
      <w:r>
        <w:rPr>
          <w:rtl w:val="0"/>
          <w:lang w:val="en-US"/>
        </w:rPr>
        <w:t>)</w:t>
      </w:r>
      <w:r>
        <w:rPr>
          <w:rtl w:val="0"/>
        </w:rPr>
        <w:t xml:space="preserve"> offerings.</w:t>
      </w:r>
    </w:p>
    <w:p>
      <w:pPr>
        <w:pStyle w:val="Body"/>
        <w:bidi w:val="0"/>
      </w:pPr>
    </w:p>
    <w:p>
      <w:pPr>
        <w:pStyle w:val="Body"/>
        <w:bidi w:val="0"/>
      </w:pPr>
      <w:r>
        <w:rPr>
          <w:rtl w:val="0"/>
          <w:lang w:val="en-US"/>
        </w:rPr>
        <w:t>Energy Future Holdings Corp. (EFH) | Critical Utility Infrastructure Restructuring</w:t>
      </w:r>
    </w:p>
    <w:p>
      <w:pPr>
        <w:pStyle w:val="Body"/>
        <w:bidi w:val="0"/>
      </w:pPr>
      <w:r>
        <w:rPr>
          <w:rtl w:val="0"/>
          <w:lang w:val="de-DE"/>
        </w:rPr>
        <w:t>Role: Co-Debtors</w:t>
      </w:r>
      <w:r>
        <w:rPr>
          <w:rtl w:val="1"/>
        </w:rPr>
        <w:t xml:space="preserve">’ </w:t>
      </w:r>
      <w:r>
        <w:rPr>
          <w:rtl w:val="0"/>
          <w:lang w:val="en-US"/>
        </w:rPr>
        <w:t>Counsel</w:t>
      </w:r>
    </w:p>
    <w:p>
      <w:pPr>
        <w:pStyle w:val="Body"/>
        <w:bidi w:val="0"/>
      </w:pPr>
      <w:r>
        <w:rPr>
          <w:rtl w:val="0"/>
          <w:lang w:val="en-US"/>
        </w:rPr>
        <w:t>Execution: Co-orchestrated one of the largest operating Chapter 11 filings in Delaware history, managing over $49 billion in liabilities and $36 billion in assets to restructure Texas</w:t>
      </w:r>
      <w:r>
        <w:rPr>
          <w:rtl w:val="1"/>
        </w:rPr>
        <w:t>’</w:t>
      </w:r>
      <w:r>
        <w:rPr>
          <w:rtl w:val="0"/>
          <w:lang w:val="en-US"/>
        </w:rPr>
        <w:t>s primary power provider.</w:t>
      </w:r>
    </w:p>
    <w:p>
      <w:pPr>
        <w:pStyle w:val="Body"/>
        <w:bidi w:val="0"/>
      </w:pPr>
    </w:p>
    <w:p>
      <w:pPr>
        <w:pStyle w:val="Body"/>
        <w:bidi w:val="0"/>
      </w:pPr>
      <w:r>
        <w:rPr>
          <w:rtl w:val="0"/>
          <w:lang w:val="en-US"/>
        </w:rPr>
        <w:t>Selected High-Stakes Assignments</w:t>
      </w:r>
    </w:p>
    <w:p>
      <w:pPr>
        <w:pStyle w:val="Body"/>
        <w:bidi w:val="0"/>
      </w:pPr>
    </w:p>
    <w:p>
      <w:pPr>
        <w:pStyle w:val="Body"/>
        <w:bidi w:val="0"/>
      </w:pPr>
      <w:r>
        <w:rPr>
          <w:rtl w:val="0"/>
          <w:lang w:val="en-US"/>
        </w:rPr>
        <w:t>Encyclopedia Britannica, Inc. (EB): Led business side negotiations and representation of senior secured lender in a $500M recap and restructuring transaction ceding ownership of EB to lender</w:t>
      </w:r>
      <w:r>
        <w:rPr>
          <w:rtl w:val="0"/>
          <w:lang w:val="en-US"/>
        </w:rPr>
        <w:t>’</w:t>
      </w:r>
      <w:r>
        <w:rPr>
          <w:rtl w:val="0"/>
          <w:lang w:val="en-US"/>
        </w:rPr>
        <w:t xml:space="preserve">s affiliate, solving liquidity, governance and operational issues. </w:t>
      </w:r>
    </w:p>
    <w:p>
      <w:pPr>
        <w:pStyle w:val="Body"/>
        <w:bidi w:val="0"/>
      </w:pPr>
    </w:p>
    <w:p>
      <w:pPr>
        <w:pStyle w:val="Body"/>
        <w:bidi w:val="0"/>
      </w:pPr>
      <w:r>
        <w:rPr>
          <w:rtl w:val="0"/>
          <w:lang w:val="en-US"/>
        </w:rPr>
        <w:t>Spring Mountain Vineyards</w:t>
      </w:r>
      <w:r>
        <w:rPr>
          <w:rtl w:val="0"/>
          <w:lang w:val="en-US"/>
        </w:rPr>
        <w:t xml:space="preserve">: Served as lead counsel for </w:t>
      </w:r>
      <w:r>
        <w:rPr>
          <w:rtl w:val="0"/>
          <w:lang w:val="en-US"/>
        </w:rPr>
        <w:t>senior secured lender MGG Investments in a $200M debt restructuring, involving a contested Section 363 sale and credit bid, ensuring asset control.</w:t>
      </w:r>
    </w:p>
    <w:p>
      <w:pPr>
        <w:pStyle w:val="Body"/>
        <w:bidi w:val="0"/>
      </w:pPr>
    </w:p>
    <w:p>
      <w:pPr>
        <w:pStyle w:val="Body"/>
        <w:bidi w:val="0"/>
      </w:pPr>
      <w:r>
        <w:rPr>
          <w:rtl w:val="0"/>
          <w:lang w:val="en-US"/>
        </w:rPr>
        <w:t>The Budd Company: Served as debtor</w:t>
      </w:r>
      <w:r>
        <w:rPr>
          <w:rtl w:val="1"/>
        </w:rPr>
        <w:t>’</w:t>
      </w:r>
      <w:r>
        <w:rPr>
          <w:rtl w:val="0"/>
          <w:lang w:val="en-US"/>
        </w:rPr>
        <w:t>s counsel, guiding a complex Chapter 11 restructuring that resolved significant environmental and retiree liabilities for a former automotive supplier.</w:t>
      </w:r>
    </w:p>
    <w:p>
      <w:pPr>
        <w:pStyle w:val="Body"/>
        <w:bidi w:val="0"/>
      </w:pPr>
    </w:p>
    <w:p>
      <w:pPr>
        <w:pStyle w:val="Body"/>
        <w:bidi w:val="0"/>
      </w:pPr>
      <w:r>
        <w:rPr>
          <w:rtl w:val="0"/>
          <w:lang w:val="en-US"/>
        </w:rPr>
        <w:t>Bayou Group</w:t>
      </w:r>
      <w:r>
        <w:rPr>
          <w:rtl w:val="0"/>
          <w:lang w:val="en-US"/>
        </w:rPr>
        <w:t xml:space="preserve"> of Hedge Funds</w:t>
      </w:r>
      <w:r>
        <w:rPr>
          <w:rtl w:val="0"/>
          <w:lang w:val="en-US"/>
        </w:rPr>
        <w:t>: Acted as federal court-appointed sole fiduciary, managing a complex post-fraud recovery and "clawback" strategy for investors.</w:t>
      </w:r>
      <w:r>
        <w:br w:type="textWrapp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