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5B4B" w:rsidRDefault="00225B4B">
      <w:pPr>
        <w:pBdr>
          <w:top w:val="nil"/>
          <w:left w:val="nil"/>
          <w:bottom w:val="nil"/>
          <w:right w:val="nil"/>
          <w:between w:val="nil"/>
        </w:pBdr>
        <w:spacing w:after="321"/>
        <w:rPr>
          <w:b/>
          <w:bCs/>
          <w:color w:val="000000"/>
          <w:sz w:val="48"/>
          <w:szCs w:val="48"/>
        </w:rPr>
      </w:pPr>
    </w:p>
    <w:p w14:paraId="00000002" w14:textId="77777777" w:rsidR="00225B4B" w:rsidRDefault="00000000">
      <w:pPr>
        <w:pBdr>
          <w:top w:val="nil"/>
          <w:left w:val="nil"/>
          <w:bottom w:val="nil"/>
          <w:right w:val="nil"/>
          <w:between w:val="nil"/>
        </w:pBdr>
        <w:spacing w:after="298"/>
        <w:rPr>
          <w:b/>
          <w:bCs/>
          <w:color w:val="000000"/>
          <w:sz w:val="36"/>
          <w:szCs w:val="36"/>
        </w:rPr>
      </w:pPr>
      <w:r>
        <w:rPr>
          <w:b/>
          <w:bCs/>
          <w:color w:val="000000"/>
          <w:sz w:val="36"/>
          <w:szCs w:val="36"/>
        </w:rPr>
        <w:t>JEFF MARWIL</w:t>
      </w:r>
    </w:p>
    <w:p w14:paraId="00000003" w14:textId="77777777" w:rsidR="00225B4B" w:rsidRDefault="00000000">
      <w:pPr>
        <w:pBdr>
          <w:top w:val="nil"/>
          <w:left w:val="nil"/>
          <w:bottom w:val="nil"/>
          <w:right w:val="nil"/>
          <w:between w:val="nil"/>
        </w:pBdr>
        <w:spacing w:after="280"/>
        <w:rPr>
          <w:b/>
          <w:bCs/>
          <w:color w:val="000000"/>
          <w:sz w:val="28"/>
          <w:szCs w:val="28"/>
        </w:rPr>
      </w:pPr>
      <w:r>
        <w:rPr>
          <w:b/>
          <w:bCs/>
          <w:color w:val="000000"/>
          <w:sz w:val="28"/>
          <w:szCs w:val="28"/>
        </w:rPr>
        <w:t>Strategic Governance Advisor | Independent Director | Fiduciary</w:t>
      </w:r>
    </w:p>
    <w:p w14:paraId="00000004" w14:textId="77777777" w:rsidR="00225B4B" w:rsidRDefault="00000000">
      <w:pPr>
        <w:pBdr>
          <w:top w:val="nil"/>
          <w:left w:val="nil"/>
          <w:bottom w:val="nil"/>
          <w:right w:val="nil"/>
          <w:between w:val="nil"/>
        </w:pBdr>
        <w:spacing w:after="280"/>
        <w:rPr>
          <w:b/>
          <w:bCs/>
          <w:color w:val="000000"/>
          <w:sz w:val="28"/>
          <w:szCs w:val="28"/>
        </w:rPr>
      </w:pPr>
      <w:r>
        <w:rPr>
          <w:b/>
          <w:bCs/>
          <w:color w:val="000000"/>
          <w:sz w:val="28"/>
          <w:szCs w:val="28"/>
        </w:rPr>
        <w:t>Founder, Ocean Boulevard Strategic Advisors</w:t>
      </w:r>
    </w:p>
    <w:p w14:paraId="00000005" w14:textId="77777777" w:rsidR="00225B4B" w:rsidRDefault="00000000">
      <w:pPr>
        <w:pBdr>
          <w:top w:val="nil"/>
          <w:left w:val="nil"/>
          <w:bottom w:val="nil"/>
          <w:right w:val="nil"/>
          <w:between w:val="nil"/>
        </w:pBdr>
        <w:spacing w:after="240"/>
        <w:rPr>
          <w:color w:val="000000"/>
        </w:rPr>
      </w:pPr>
      <w:r>
        <w:rPr>
          <w:color w:val="000000"/>
        </w:rPr>
        <w:t xml:space="preserve">Jeff </w:t>
      </w:r>
      <w:proofErr w:type="spellStart"/>
      <w:r>
        <w:rPr>
          <w:color w:val="000000"/>
        </w:rPr>
        <w:t>Marwil</w:t>
      </w:r>
      <w:proofErr w:type="spellEnd"/>
      <w:r>
        <w:rPr>
          <w:color w:val="000000"/>
        </w:rPr>
        <w:t xml:space="preserve"> is a strategic governance advisor, independent director, and fiduciary with more than four decades of experience advising boards, investors, lenders, management teams, and courts in some of the most complex corporate, financial, and operational situations in the United States.</w:t>
      </w:r>
    </w:p>
    <w:p w14:paraId="00000006" w14:textId="08B93BFD" w:rsidR="00225B4B" w:rsidRDefault="00000000">
      <w:pPr>
        <w:pBdr>
          <w:top w:val="nil"/>
          <w:left w:val="nil"/>
          <w:bottom w:val="nil"/>
          <w:right w:val="nil"/>
          <w:between w:val="nil"/>
        </w:pBdr>
        <w:spacing w:after="240"/>
        <w:rPr>
          <w:color w:val="000000"/>
        </w:rPr>
      </w:pPr>
      <w:r>
        <w:rPr>
          <w:color w:val="000000"/>
        </w:rPr>
        <w:t xml:space="preserve">Following a distinguished 37-year career </w:t>
      </w:r>
      <w:r w:rsidR="00ED32C2">
        <w:rPr>
          <w:color w:val="000000"/>
        </w:rPr>
        <w:t xml:space="preserve">(the last 14) </w:t>
      </w:r>
      <w:r>
        <w:rPr>
          <w:color w:val="000000"/>
        </w:rPr>
        <w:t>at Proskauer Rose LLP, where he served as Co-Chair of the firm’s nationally recognized Corporate Restructuring, Business Solutions and Bankruptcy Practice, Jeff founded Ocean Boulevard Strategic Advisors to help organizations navigate strategic inflection points where governance, capital allocation, operational execution, and technology intersect.</w:t>
      </w:r>
    </w:p>
    <w:p w14:paraId="00000007" w14:textId="77777777" w:rsidR="00225B4B" w:rsidRDefault="00000000">
      <w:pPr>
        <w:pBdr>
          <w:top w:val="nil"/>
          <w:left w:val="nil"/>
          <w:bottom w:val="nil"/>
          <w:right w:val="nil"/>
          <w:between w:val="nil"/>
        </w:pBdr>
        <w:spacing w:after="240"/>
        <w:rPr>
          <w:color w:val="000000"/>
        </w:rPr>
      </w:pPr>
      <w:r>
        <w:rPr>
          <w:color w:val="000000"/>
        </w:rPr>
        <w:t>Today, Jeff’s practice focuses on helping investors, boards, and government stakeholders strengthen organizational resilience before financial distress occurs. Drawing on decades of experience leading enterprise transformations, restructuring critical businesses, and advising sophisticated capital providers, he works at the intersection of strategic governance, private credit, industrial resilience, AI-driven business transformation, and long-term value creation.</w:t>
      </w:r>
    </w:p>
    <w:p w14:paraId="00000008" w14:textId="77777777" w:rsidR="00225B4B" w:rsidRDefault="00000000">
      <w:pPr>
        <w:pBdr>
          <w:top w:val="nil"/>
          <w:left w:val="nil"/>
          <w:bottom w:val="nil"/>
          <w:right w:val="nil"/>
          <w:between w:val="nil"/>
        </w:pBdr>
        <w:spacing w:after="240"/>
        <w:rPr>
          <w:color w:val="000000"/>
        </w:rPr>
      </w:pPr>
      <w:r>
        <w:rPr>
          <w:color w:val="000000"/>
        </w:rPr>
        <w:t>Jeff’s experience is particularly relevant to organizations responsible for deploying strategic capital into sectors vital to national competitiveness and economic security. His work emphasizes governance structures, operational readiness, capital preservation, supply-chain resilience, technology commercialization, and enterprise risk management that enable innovative companies to mature into durable industrial leaders.</w:t>
      </w:r>
    </w:p>
    <w:p w14:paraId="00000009" w14:textId="77777777" w:rsidR="00225B4B" w:rsidRDefault="00000000">
      <w:pPr>
        <w:pBdr>
          <w:top w:val="nil"/>
          <w:left w:val="nil"/>
          <w:bottom w:val="nil"/>
          <w:right w:val="nil"/>
          <w:between w:val="nil"/>
        </w:pBdr>
        <w:spacing w:after="240"/>
        <w:rPr>
          <w:color w:val="000000"/>
        </w:rPr>
      </w:pPr>
      <w:r>
        <w:rPr>
          <w:color w:val="000000"/>
        </w:rPr>
        <w:t xml:space="preserve">Unlike traditional consultants, Jeff has served as an operator, fiduciary, independent director, lender advisor, and legal strategist. That multidisciplinary perspective allows him to identify execution risks, align diverse stakeholder interests, and design practical governance solutions for organizations operating in highly regulated, capital-intensive, or strategically important industries. </w:t>
      </w:r>
    </w:p>
    <w:p w14:paraId="0000000A" w14:textId="77777777" w:rsidR="00225B4B" w:rsidRDefault="00000000">
      <w:pPr>
        <w:pBdr>
          <w:top w:val="nil"/>
          <w:left w:val="nil"/>
          <w:bottom w:val="nil"/>
          <w:right w:val="nil"/>
          <w:between w:val="nil"/>
        </w:pBdr>
        <w:spacing w:after="240"/>
        <w:rPr>
          <w:color w:val="000000"/>
        </w:rPr>
      </w:pPr>
      <w:r>
        <w:rPr>
          <w:color w:val="000000"/>
        </w:rPr>
        <w:t>Current engagements include advising private credit investors on portfolio resilience, serving as independent fiduciary and director in complex corporate situations, evaluating the strategic implications of artificial intelligence on business models and competitive advantage, and advising leadership teams on governance and operational strategy.</w:t>
      </w:r>
    </w:p>
    <w:p w14:paraId="0000000B" w14:textId="77777777" w:rsidR="00225B4B" w:rsidRDefault="00000000">
      <w:pPr>
        <w:pBdr>
          <w:top w:val="nil"/>
          <w:left w:val="nil"/>
          <w:bottom w:val="nil"/>
          <w:right w:val="nil"/>
          <w:between w:val="nil"/>
        </w:pBdr>
        <w:spacing w:after="240"/>
        <w:rPr>
          <w:color w:val="000000"/>
        </w:rPr>
      </w:pPr>
      <w:r>
        <w:rPr>
          <w:color w:val="000000"/>
        </w:rPr>
        <w:t xml:space="preserve">Throughout his career, Jeff has advised on matters involving more than $100 </w:t>
      </w:r>
      <w:proofErr w:type="spellStart"/>
      <w:r>
        <w:rPr>
          <w:color w:val="000000"/>
        </w:rPr>
        <w:t>billion</w:t>
      </w:r>
      <w:proofErr w:type="spellEnd"/>
      <w:r>
        <w:rPr>
          <w:color w:val="000000"/>
        </w:rPr>
        <w:t xml:space="preserve"> of enterprise value, including landmark restructurings, governance assignments, technology-enabled transformations, and complex fiduciary engagements. Representative matters include Energy </w:t>
      </w:r>
      <w:r>
        <w:rPr>
          <w:color w:val="000000"/>
        </w:rPr>
        <w:lastRenderedPageBreak/>
        <w:t>Future Holdings, Encyclopedia Britannica, The Budd Company, Bayou Group, and numerous middle-market industrial and technology companies.</w:t>
      </w:r>
    </w:p>
    <w:p w14:paraId="0000000C" w14:textId="77777777" w:rsidR="00225B4B" w:rsidRDefault="00000000">
      <w:pPr>
        <w:pBdr>
          <w:top w:val="nil"/>
          <w:left w:val="nil"/>
          <w:bottom w:val="nil"/>
          <w:right w:val="nil"/>
          <w:between w:val="nil"/>
        </w:pBdr>
        <w:spacing w:after="240"/>
        <w:rPr>
          <w:color w:val="000000"/>
        </w:rPr>
      </w:pPr>
      <w:r>
        <w:rPr>
          <w:color w:val="000000"/>
        </w:rPr>
        <w:t>Jeff believes that capital alone rarely determines long-term success. Sustainable enterprise value is created through disciplined governance, operational excellence, technological adaptability, and resilient leadership.</w:t>
      </w:r>
    </w:p>
    <w:p w14:paraId="0000000D" w14:textId="77777777" w:rsidR="00225B4B" w:rsidRDefault="00000000">
      <w:pPr>
        <w:pBdr>
          <w:top w:val="nil"/>
          <w:left w:val="nil"/>
          <w:bottom w:val="nil"/>
          <w:right w:val="nil"/>
          <w:between w:val="nil"/>
        </w:pBdr>
        <w:spacing w:after="240"/>
        <w:rPr>
          <w:color w:val="000000"/>
        </w:rPr>
      </w:pPr>
      <w:r>
        <w:rPr>
          <w:color w:val="000000"/>
        </w:rPr>
        <w:t>CORE COMPETENCIES &amp; SOVEREIGN APPLICATION</w:t>
      </w:r>
    </w:p>
    <w:p w14:paraId="0000000E" w14:textId="77777777" w:rsidR="00225B4B" w:rsidRDefault="00000000">
      <w:pPr>
        <w:pBdr>
          <w:top w:val="nil"/>
          <w:left w:val="nil"/>
          <w:bottom w:val="nil"/>
          <w:right w:val="nil"/>
          <w:between w:val="nil"/>
        </w:pBdr>
        <w:rPr>
          <w:color w:val="000000"/>
        </w:rPr>
      </w:pPr>
      <w:r>
        <w:rPr>
          <w:color w:val="000000"/>
        </w:rPr>
        <w:t>Industrial Base Stabilization &amp; Downside Protection: Unrivaled history identifying financial stress within vital industrial, logistics, and manufacturing sub-tiers. Expertise covers designing proactive, out-of-court workout and restructuring strategies as well as Chapter 11 reorganizations and/or asset sales to insulate essential domestic intellectual property and infrastructure from predatory foreign capital or liquidation.</w:t>
      </w:r>
    </w:p>
    <w:p w14:paraId="0000000F" w14:textId="77777777" w:rsidR="00225B4B" w:rsidRDefault="00225B4B">
      <w:pPr>
        <w:pBdr>
          <w:top w:val="nil"/>
          <w:left w:val="nil"/>
          <w:bottom w:val="nil"/>
          <w:right w:val="nil"/>
          <w:between w:val="nil"/>
        </w:pBdr>
        <w:rPr>
          <w:color w:val="000000"/>
        </w:rPr>
      </w:pPr>
    </w:p>
    <w:p w14:paraId="00000010" w14:textId="77777777" w:rsidR="00225B4B" w:rsidRDefault="00000000">
      <w:pPr>
        <w:pBdr>
          <w:top w:val="nil"/>
          <w:left w:val="nil"/>
          <w:bottom w:val="nil"/>
          <w:right w:val="nil"/>
          <w:between w:val="nil"/>
        </w:pBdr>
        <w:rPr>
          <w:color w:val="000000"/>
        </w:rPr>
      </w:pPr>
      <w:r>
        <w:rPr>
          <w:color w:val="000000"/>
        </w:rPr>
        <w:t>Private Credit &amp; Covenant Architecture: Decades spent navigating the intricate legal and financial frameworks of global lenders and private equity sponsors. Highly proficient in crafting sophisticated intercreditor agreements, debt-priming mechanisms, and specialized governance covenants that force private capital structures to align with long-term sovereign mandates or strategic investment goals.</w:t>
      </w:r>
    </w:p>
    <w:p w14:paraId="00000011" w14:textId="77777777" w:rsidR="00225B4B" w:rsidRDefault="00225B4B">
      <w:pPr>
        <w:pBdr>
          <w:top w:val="nil"/>
          <w:left w:val="nil"/>
          <w:bottom w:val="nil"/>
          <w:right w:val="nil"/>
          <w:between w:val="nil"/>
        </w:pBdr>
        <w:rPr>
          <w:color w:val="000000"/>
        </w:rPr>
      </w:pPr>
    </w:p>
    <w:p w14:paraId="00000012" w14:textId="77777777" w:rsidR="00225B4B" w:rsidRDefault="00000000">
      <w:pPr>
        <w:pBdr>
          <w:top w:val="nil"/>
          <w:left w:val="nil"/>
          <w:bottom w:val="nil"/>
          <w:right w:val="nil"/>
          <w:between w:val="nil"/>
        </w:pBdr>
        <w:rPr>
          <w:color w:val="000000"/>
        </w:rPr>
      </w:pPr>
      <w:r>
        <w:rPr>
          <w:color w:val="000000"/>
        </w:rPr>
        <w:t>Tech-Commercial &amp; AI Moat Evaluation: Expert-level commercial understanding of how next-generation technologies alter business models. Possesses deep capabilities to vet tech-heavy portfolios and assess whether a target company has an enduring, data-exclusive competitive moat or faces imminent commoditization from rapid conceptual advancements in AI and autonomous agents.</w:t>
      </w:r>
    </w:p>
    <w:p w14:paraId="00000013" w14:textId="77777777" w:rsidR="00225B4B" w:rsidRDefault="00225B4B">
      <w:pPr>
        <w:pBdr>
          <w:top w:val="nil"/>
          <w:left w:val="nil"/>
          <w:bottom w:val="nil"/>
          <w:right w:val="nil"/>
          <w:between w:val="nil"/>
        </w:pBdr>
        <w:rPr>
          <w:color w:val="000000"/>
        </w:rPr>
      </w:pPr>
    </w:p>
    <w:p w14:paraId="00000014" w14:textId="77777777" w:rsidR="00225B4B" w:rsidRDefault="00000000">
      <w:pPr>
        <w:pBdr>
          <w:top w:val="nil"/>
          <w:left w:val="nil"/>
          <w:bottom w:val="nil"/>
          <w:right w:val="nil"/>
          <w:between w:val="nil"/>
        </w:pBdr>
        <w:rPr>
          <w:color w:val="000000"/>
        </w:rPr>
      </w:pPr>
      <w:r>
        <w:rPr>
          <w:color w:val="000000"/>
        </w:rPr>
        <w:t>Fiduciary &amp; Board Governance Oversight: Extensive track record serving as an independent director and sole fiduciary in high-profile, highly litigious, or fraudulent corporate failures. Delivers immediate board-level credibility, structural compliance, and rigorous fiduciary oversight designed to survive intense political, regulatory, and judicial scrutiny.</w:t>
      </w:r>
    </w:p>
    <w:sectPr w:rsidR="00225B4B">
      <w:headerReference w:type="default" r:id="rId7"/>
      <w:footerReference w:type="default" r:id="rId8"/>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A32FC" w14:textId="77777777" w:rsidR="00F65798" w:rsidRDefault="00F65798">
      <w:r>
        <w:separator/>
      </w:r>
    </w:p>
  </w:endnote>
  <w:endnote w:type="continuationSeparator" w:id="0">
    <w:p w14:paraId="445BE639" w14:textId="77777777" w:rsidR="00F65798" w:rsidRDefault="00F65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C435039-6C8E-1741-A4E1-9A22EF915F85}"/>
    <w:embedBold r:id="rId2" w:fontKey="{69838891-B5EA-2F4D-93BE-ED10C3DD814C}"/>
  </w:font>
  <w:font w:name="Georgia">
    <w:panose1 w:val="02040502050405020303"/>
    <w:charset w:val="00"/>
    <w:family w:val="roman"/>
    <w:pitch w:val="variable"/>
    <w:sig w:usb0="00000287" w:usb1="00000000" w:usb2="00000000" w:usb3="00000000" w:csb0="0000009F" w:csb1="00000000"/>
    <w:embedItalic r:id="rId3" w:fontKey="{AD3B40D7-E31D-1346-BE0F-958A5DA877DB}"/>
  </w:font>
  <w:font w:name="Calibri">
    <w:panose1 w:val="020F0502020204030204"/>
    <w:charset w:val="00"/>
    <w:family w:val="swiss"/>
    <w:pitch w:val="variable"/>
    <w:sig w:usb0="E4002EFF" w:usb1="C000247B" w:usb2="00000009" w:usb3="00000000" w:csb0="000001FF" w:csb1="00000000"/>
    <w:embedRegular r:id="rId4" w:fontKey="{AEA4E5C0-99ED-2445-B2E7-BD42C6A24098}"/>
  </w:font>
  <w:font w:name="Cambria">
    <w:panose1 w:val="02040503050406030204"/>
    <w:charset w:val="00"/>
    <w:family w:val="roman"/>
    <w:pitch w:val="variable"/>
    <w:sig w:usb0="E00006FF" w:usb1="420024FF" w:usb2="02000000" w:usb3="00000000" w:csb0="0000019F" w:csb1="00000000"/>
    <w:embedRegular r:id="rId5" w:fontKey="{271908D9-DC89-A647-A386-EB4B9C900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225B4B" w:rsidRDefault="00225B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51D09" w14:textId="77777777" w:rsidR="00F65798" w:rsidRDefault="00F65798">
      <w:r>
        <w:separator/>
      </w:r>
    </w:p>
  </w:footnote>
  <w:footnote w:type="continuationSeparator" w:id="0">
    <w:p w14:paraId="2681062A" w14:textId="77777777" w:rsidR="00F65798" w:rsidRDefault="00F65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225B4B" w:rsidRDefault="00225B4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B4B"/>
    <w:rsid w:val="000E16C6"/>
    <w:rsid w:val="00225B4B"/>
    <w:rsid w:val="00886A3D"/>
    <w:rsid w:val="00ED32C2"/>
    <w:rsid w:val="00F65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FB6E84"/>
  <w15:docId w15:val="{2B097D44-38BD-D145-B24B-9CACC439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T1iVXWv9wI34m3tabkr+2e2UQ==">CgMxLjA4AHIhMThoUlRCV1o5eHBHdnF3YldIeWEtaVhtbXNaWHI2d2Vv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700</Words>
  <Characters>3992</Characters>
  <Application>Microsoft Office Word</Application>
  <DocSecurity>0</DocSecurity>
  <Lines>33</Lines>
  <Paragraphs>9</Paragraphs>
  <ScaleCrop>false</ScaleCrop>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Gilles</cp:lastModifiedBy>
  <cp:revision>3</cp:revision>
  <dcterms:created xsi:type="dcterms:W3CDTF">2026-07-23T15:52:00Z</dcterms:created>
  <dcterms:modified xsi:type="dcterms:W3CDTF">2026-07-23T15:55:00Z</dcterms:modified>
</cp:coreProperties>
</file>